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</w:t>
      </w:r>
      <w:proofErr w:type="gramStart"/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</w:t>
      </w:r>
      <w:proofErr w:type="gramEnd"/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9"/>
        <w:gridCol w:w="3174"/>
        <w:gridCol w:w="6"/>
        <w:gridCol w:w="3167"/>
        <w:gridCol w:w="3173"/>
        <w:gridCol w:w="7"/>
        <w:gridCol w:w="3169"/>
      </w:tblGrid>
      <w:tr w:rsidR="00C55AF0" w:rsidRPr="008E4DF9" w:rsidTr="00192CE6">
        <w:trPr>
          <w:trHeight w:hRule="exact" w:val="555"/>
          <w:jc w:val="center"/>
        </w:trPr>
        <w:tc>
          <w:tcPr>
            <w:tcW w:w="15875" w:type="dxa"/>
            <w:gridSpan w:val="7"/>
            <w:shd w:val="clear" w:color="auto" w:fill="auto"/>
            <w:vAlign w:val="center"/>
          </w:tcPr>
          <w:p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192CE6" w:rsidRPr="008E4DF9" w:rsidTr="00192CE6">
        <w:trPr>
          <w:trHeight w:hRule="exact" w:val="428"/>
          <w:jc w:val="center"/>
        </w:trPr>
        <w:tc>
          <w:tcPr>
            <w:tcW w:w="3179" w:type="dxa"/>
            <w:shd w:val="clear" w:color="auto" w:fill="auto"/>
            <w:vAlign w:val="center"/>
          </w:tcPr>
          <w:p w:rsidR="00192CE6" w:rsidRPr="00B96F79" w:rsidRDefault="00192CE6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192CE6" w:rsidRPr="00B96F79" w:rsidRDefault="00192CE6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192CE6" w:rsidRPr="00B96F79" w:rsidRDefault="00192CE6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192CE6" w:rsidRPr="00B96F79" w:rsidRDefault="00192CE6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192CE6" w:rsidRPr="00B96F79" w:rsidRDefault="00192CE6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C55AF0" w:rsidRPr="008E4DF9" w:rsidTr="00192CE6">
        <w:trPr>
          <w:trHeight w:hRule="exact" w:val="454"/>
          <w:jc w:val="center"/>
        </w:trPr>
        <w:tc>
          <w:tcPr>
            <w:tcW w:w="3179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proofErr w:type="gramEnd"/>
          </w:p>
          <w:p w:rsidR="00C55AF0" w:rsidRPr="00C87C30" w:rsidRDefault="008E71D9" w:rsidP="00192CE6">
            <w:pPr>
              <w:ind w:left="50" w:hanging="5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  <w:r w:rsidR="00192C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1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proofErr w:type="gramEnd"/>
          </w:p>
          <w:p w:rsidR="00C55AF0" w:rsidRPr="00C87C30" w:rsidRDefault="008E71D9" w:rsidP="00192CE6">
            <w:pPr>
              <w:ind w:left="158" w:hanging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  <w:r w:rsidR="00192C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1+2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proofErr w:type="gramEnd"/>
          </w:p>
          <w:p w:rsidR="00C55AF0" w:rsidRPr="00C87C30" w:rsidRDefault="008E71D9" w:rsidP="00192CE6">
            <w:pPr>
              <w:ind w:left="-63" w:right="-7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  <w:r w:rsidR="00192C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1+2+3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proofErr w:type="gramEnd"/>
          </w:p>
          <w:p w:rsidR="00C55AF0" w:rsidRPr="00C87C30" w:rsidRDefault="008E71D9" w:rsidP="00192CE6">
            <w:pPr>
              <w:ind w:left="72" w:right="-14" w:hanging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  <w:r w:rsidR="00192C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1+2+3+4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proofErr w:type="gramEnd"/>
          </w:p>
          <w:p w:rsidR="00C55AF0" w:rsidRPr="00C87C30" w:rsidRDefault="008E71D9" w:rsidP="00192CE6">
            <w:pPr>
              <w:ind w:left="72" w:right="-14" w:hanging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  <w:r w:rsidR="00192CE6">
              <w:rPr>
                <w:rFonts w:asciiTheme="minorHAnsi" w:hAnsiTheme="minorHAnsi" w:cstheme="minorHAnsi"/>
                <w:b/>
                <w:sz w:val="18"/>
                <w:szCs w:val="18"/>
              </w:rPr>
              <w:t>1+2+3+4+5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7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192CE6">
        <w:trPr>
          <w:jc w:val="center"/>
        </w:trPr>
        <w:tc>
          <w:tcPr>
            <w:tcW w:w="3179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cechy położenia Polski w Europie na podstawie mapy ogólnogeograficznej </w:t>
            </w:r>
          </w:p>
          <w:p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całkowitą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najważniejsze wydarzenia </w:t>
            </w:r>
          </w:p>
          <w:p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proofErr w:type="gramStart"/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>wymienia</w:t>
            </w:r>
            <w:proofErr w:type="gramEnd"/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</w:t>
            </w:r>
            <w:proofErr w:type="gramEnd"/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przeważający kierunek wiatrów </w:t>
            </w: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lastRenderedPageBreak/>
              <w:t>w Polsce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</w:t>
            </w:r>
            <w:proofErr w:type="gramEnd"/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</w:t>
            </w:r>
            <w:proofErr w:type="gramEnd"/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mapie główne rzeki Europy i Polski </w:t>
            </w:r>
          </w:p>
          <w:p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powodzi w Polsce </w:t>
            </w:r>
          </w:p>
          <w:p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określa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podstawie mapy ogólnogeograficznej położenie Morza Bałtyckiego </w:t>
            </w:r>
          </w:p>
          <w:p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mapie Morza Bałtyckiego jego największe zatoki, wyspy i cieśniny</w:t>
            </w:r>
          </w:p>
          <w:p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</w:t>
            </w:r>
            <w:proofErr w:type="gramEnd"/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</w:t>
            </w:r>
            <w:proofErr w:type="gramEnd"/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porównuje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dokonuje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rozpoznaje</w:t>
            </w:r>
            <w:proofErr w:type="gramEnd"/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 typy ujść rzecznych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zjawisko powodzi </w:t>
            </w:r>
          </w:p>
          <w:p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ogólnogeograficznej Polski obszary zagrożone powodzią </w:t>
            </w:r>
          </w:p>
          <w:p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Polski rozmieszczenie największych sztucznych zbiorników wodnych </w:t>
            </w:r>
          </w:p>
          <w:p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wielkość i głębokość Bałtyku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 parki narodowe w Polsce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oblicza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proofErr w:type="gramStart"/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</w:t>
            </w:r>
            <w:proofErr w:type="gramEnd"/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 dzieje Ziemi</w:t>
            </w:r>
          </w:p>
          <w:p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, jak powstał węgiel kamienny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przedstawia</w:t>
            </w:r>
            <w:proofErr w:type="gramEnd"/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warunki klimatyczne w Europie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czynniki kształtujące klimat w Polsce </w:t>
            </w:r>
          </w:p>
          <w:p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</w:t>
            </w:r>
            <w:proofErr w:type="gramEnd"/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wpływ głównych mas powietrza na klimat i pogodę w Polsce</w:t>
            </w:r>
          </w:p>
          <w:p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atmosferycznych z klimatogramów</w:t>
            </w:r>
          </w:p>
          <w:p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na czym polega asymetria dorzeczy Wisły i Odry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podstawie mapy cechy oraz walory Wisły i Odry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czynniki sprzyjające powodziom w Polsce </w:t>
            </w:r>
          </w:p>
          <w:p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rolę przeciwpowodziową sztucznych zbiorników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charakteryzuje</w:t>
            </w:r>
            <w:proofErr w:type="gramEnd"/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 rozpoznaje typy wybrzeży Bałtyku </w:t>
            </w:r>
          </w:p>
          <w:p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proofErr w:type="gramStart"/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</w:t>
            </w:r>
            <w:proofErr w:type="gramEnd"/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 powstawanie gleby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wyróżnia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3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konsekwencje położenia geograficznego oraz politycznego Polski</w:t>
            </w:r>
          </w:p>
          <w:p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proofErr w:type="gramEnd"/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</w:t>
            </w:r>
            <w:proofErr w:type="gramEnd"/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 xml:space="preserve"> proces powstawania lodowców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wykazuje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rozpoznaje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pogodę kształtowaną przez główne masy powietrza napływające nad teren Polski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podstawie map tematycznych rozkład temperatury powietrza oraz opadów atmosferycznych w Polsce </w:t>
            </w:r>
          </w:p>
          <w:p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ważniejsze typy jezior w Polsce</w:t>
            </w:r>
          </w:p>
          <w:p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konsekwencje stosowania różnych metod ochrony przeciwpowodziowej </w:t>
            </w:r>
          </w:p>
          <w:p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omawia</w:t>
            </w:r>
            <w:proofErr w:type="gramEnd"/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niszczącą i budującą działalność </w:t>
            </w: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omawia</w:t>
            </w:r>
            <w:proofErr w:type="gramEnd"/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wykazuje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wykazuje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wykazuje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wykazuje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</w:t>
            </w:r>
            <w:proofErr w:type="gramEnd"/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317A08">
        <w:trPr>
          <w:trHeight w:hRule="exact" w:val="454"/>
          <w:jc w:val="center"/>
        </w:trPr>
        <w:tc>
          <w:tcPr>
            <w:tcW w:w="15875" w:type="dxa"/>
            <w:gridSpan w:val="7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192CE6">
        <w:trPr>
          <w:jc w:val="center"/>
        </w:trPr>
        <w:tc>
          <w:tcPr>
            <w:tcW w:w="3179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mapie administracyjnej 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średnia długość trwania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lastRenderedPageBreak/>
              <w:t>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odczytuje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odczytuje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odczytuje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odczytuje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</w:t>
            </w:r>
            <w:proofErr w:type="gramEnd"/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wyludniania się wsi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oddalonych od dużych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E7332">
              <w:rPr>
                <w:rFonts w:ascii="Calibri" w:hAnsi="Calibri" w:cs="Calibri"/>
                <w:sz w:val="18"/>
                <w:szCs w:val="18"/>
              </w:rPr>
              <w:t>wymienia</w:t>
            </w:r>
            <w:proofErr w:type="gramEnd"/>
            <w:r w:rsidRPr="001E7332">
              <w:rPr>
                <w:rFonts w:ascii="Calibri" w:hAnsi="Calibri" w:cs="Calibri"/>
                <w:sz w:val="18"/>
                <w:szCs w:val="18"/>
              </w:rPr>
              <w:t xml:space="preserve">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średnią długość trwania życia Polaków na tle 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wyjaśnia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 czym są ekonomiczne grupy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zróżnicowania 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porównuje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3" w:type="dxa"/>
            <w:gridSpan w:val="2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oblicza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oblicza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cechy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przyrost rzeczywisty ludności 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proofErr w:type="gramEnd"/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3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oblicza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skutki migracji 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wpływ migracji na strukturę 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7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192CE6">
        <w:trPr>
          <w:jc w:val="center"/>
        </w:trPr>
        <w:tc>
          <w:tcPr>
            <w:tcW w:w="3179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dokonuje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przyczyny kwaśnych opadów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lokalizuje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gridSpan w:val="2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</w:t>
            </w: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rolnictwo jako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sektor gospodarki oraz jego rolę w rozwoju społeczno-gospodarczym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</w:t>
            </w: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 jako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proofErr w:type="gramEnd"/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3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porównuje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porównuje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dokonuje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wykazuje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ustala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7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192CE6">
        <w:trPr>
          <w:jc w:val="center"/>
        </w:trPr>
        <w:tc>
          <w:tcPr>
            <w:tcW w:w="3179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wyróżnia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wyróżnia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3" w:type="dxa"/>
            <w:gridSpan w:val="2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</w:t>
            </w: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usługi jako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ruch pasażerski w portach 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inwestycje przemysłowe we Wrocławiu i w jego okolicach </w:t>
            </w:r>
          </w:p>
          <w:p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tematycznej przykłady miejsc, w których przebieg autostrad i dróg ekspresowych sprzyja powstawaniu centrów logistycznych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położenie głównych atrakcji wybrzeża Bałtyku i Małopolski </w:t>
            </w:r>
          </w:p>
        </w:tc>
        <w:tc>
          <w:tcPr>
            <w:tcW w:w="3173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transportu w rozwoju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dostępnych źródeł problemy polskiego transportu 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łączności w rozwoju 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dostępnych źródeł atrakcyjność turystyczną wybranego regionu Polski </w:t>
            </w:r>
          </w:p>
          <w:p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dane statystyczne dotyczące ruchu turystycznego nad Morzem Bałtyckim i w Krakowie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wpływ walorów przyrodniczych wybrzeża Bałtyku oraz dziedzictwa kulturowego Małopolski na rozwój turystyki na tych obszarach 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identyfikuje</w:t>
            </w:r>
            <w:proofErr w:type="gramEnd"/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przykłady sukcesów polskich firm na arenie 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A2086B">
        <w:trPr>
          <w:trHeight w:hRule="exact" w:val="397"/>
          <w:jc w:val="center"/>
        </w:trPr>
        <w:tc>
          <w:tcPr>
            <w:tcW w:w="15875" w:type="dxa"/>
            <w:gridSpan w:val="7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</w:t>
            </w:r>
            <w:bookmarkStart w:id="0" w:name="_GoBack"/>
            <w:bookmarkEnd w:id="0"/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zyzna</w:t>
            </w:r>
          </w:p>
        </w:tc>
      </w:tr>
      <w:tr w:rsidR="00E02E04" w:rsidRPr="000B3B38" w:rsidTr="00192CE6">
        <w:trPr>
          <w:jc w:val="center"/>
        </w:trPr>
        <w:tc>
          <w:tcPr>
            <w:tcW w:w="3179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</w:t>
            </w: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mapie ogólnogeograficznej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wyróżnia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</w:t>
            </w: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ojczyzną jako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gridSpan w:val="2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3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dowolnej formie (np. prezentacji multimedialnej, plakatu, wystawy fotograficznej) atrakcyjność osadniczą oraz gospodarczą małej </w:t>
            </w: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ojczyzny jako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planuje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wycieczkę po swojej małej ojczyźnie </w:t>
            </w:r>
          </w:p>
          <w:p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F4" w:rsidRDefault="003C14F4" w:rsidP="00F406B9">
      <w:r>
        <w:separator/>
      </w:r>
    </w:p>
  </w:endnote>
  <w:endnote w:type="continuationSeparator" w:id="0">
    <w:p w:rsidR="003C14F4" w:rsidRDefault="003C14F4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F4" w:rsidRDefault="003C14F4" w:rsidP="00F406B9">
      <w:r>
        <w:separator/>
      </w:r>
    </w:p>
  </w:footnote>
  <w:footnote w:type="continuationSeparator" w:id="0">
    <w:p w:rsidR="003C14F4" w:rsidRDefault="003C14F4" w:rsidP="00F406B9">
      <w:r>
        <w:continuationSeparator/>
      </w:r>
    </w:p>
  </w:footnote>
  <w:footnote w:id="1">
    <w:p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2CE6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4F4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18F5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4A8F-6214-44F9-BE05-CB026099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3673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Samsung Ewa</cp:lastModifiedBy>
  <cp:revision>5</cp:revision>
  <cp:lastPrinted>2017-08-02T09:04:00Z</cp:lastPrinted>
  <dcterms:created xsi:type="dcterms:W3CDTF">2020-03-12T13:33:00Z</dcterms:created>
  <dcterms:modified xsi:type="dcterms:W3CDTF">2023-09-12T16:26:00Z</dcterms:modified>
</cp:coreProperties>
</file>